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9D" w:rsidRPr="00C4699D" w:rsidRDefault="00C4699D" w:rsidP="00C4699D">
      <w:pPr>
        <w:shd w:val="clear" w:color="auto" w:fill="FFFFFF"/>
        <w:spacing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Performance Report Based on Actual Production</w:t>
      </w:r>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proofErr w:type="spellStart"/>
      <w:r w:rsidRPr="00C4699D">
        <w:rPr>
          <w:rFonts w:ascii="Verdana" w:eastAsia="Times New Roman" w:hAnsi="Verdana" w:cs="Times New Roman"/>
          <w:color w:val="333333"/>
          <w:sz w:val="18"/>
          <w:szCs w:val="18"/>
        </w:rPr>
        <w:t>Ladan</w:t>
      </w:r>
      <w:proofErr w:type="spellEnd"/>
      <w:r w:rsidRPr="00C4699D">
        <w:rPr>
          <w:rFonts w:ascii="Verdana" w:eastAsia="Times New Roman" w:hAnsi="Verdana" w:cs="Times New Roman"/>
          <w:color w:val="333333"/>
          <w:sz w:val="18"/>
          <w:szCs w:val="18"/>
        </w:rPr>
        <w:t xml:space="preserve"> </w:t>
      </w:r>
      <w:proofErr w:type="spellStart"/>
      <w:r w:rsidRPr="00C4699D">
        <w:rPr>
          <w:rFonts w:ascii="Verdana" w:eastAsia="Times New Roman" w:hAnsi="Verdana" w:cs="Times New Roman"/>
          <w:color w:val="333333"/>
          <w:sz w:val="18"/>
          <w:szCs w:val="18"/>
        </w:rPr>
        <w:t>Suriman</w:t>
      </w:r>
      <w:proofErr w:type="spellEnd"/>
      <w:r w:rsidRPr="00C4699D">
        <w:rPr>
          <w:rFonts w:ascii="Verdana" w:eastAsia="Times New Roman" w:hAnsi="Verdana" w:cs="Times New Roman"/>
          <w:color w:val="333333"/>
          <w:sz w:val="18"/>
          <w:szCs w:val="18"/>
        </w:rPr>
        <w:t xml:space="preserve">, controller for Healthy Pet Company, has been instructed to develop a flexible budget for overhead costs. The company produces two types of dog food. </w:t>
      </w:r>
      <w:proofErr w:type="spellStart"/>
      <w:r w:rsidRPr="00C4699D">
        <w:rPr>
          <w:rFonts w:ascii="Verdana" w:eastAsia="Times New Roman" w:hAnsi="Verdana" w:cs="Times New Roman"/>
          <w:color w:val="333333"/>
          <w:sz w:val="18"/>
          <w:szCs w:val="18"/>
        </w:rPr>
        <w:t>BasicDiet</w:t>
      </w:r>
      <w:proofErr w:type="spellEnd"/>
      <w:r w:rsidRPr="00C4699D">
        <w:rPr>
          <w:rFonts w:ascii="Verdana" w:eastAsia="Times New Roman" w:hAnsi="Verdana" w:cs="Times New Roman"/>
          <w:color w:val="333333"/>
          <w:sz w:val="18"/>
          <w:szCs w:val="18"/>
        </w:rPr>
        <w:t xml:space="preserve"> is a standard mixture for healthy dogs. </w:t>
      </w:r>
      <w:proofErr w:type="spellStart"/>
      <w:r w:rsidRPr="00C4699D">
        <w:rPr>
          <w:rFonts w:ascii="Verdana" w:eastAsia="Times New Roman" w:hAnsi="Verdana" w:cs="Times New Roman"/>
          <w:color w:val="333333"/>
          <w:sz w:val="18"/>
          <w:szCs w:val="18"/>
        </w:rPr>
        <w:t>SpecialDiet</w:t>
      </w:r>
      <w:proofErr w:type="spellEnd"/>
      <w:r w:rsidRPr="00C4699D">
        <w:rPr>
          <w:rFonts w:ascii="Verdana" w:eastAsia="Times New Roman" w:hAnsi="Verdana" w:cs="Times New Roman"/>
          <w:color w:val="333333"/>
          <w:sz w:val="18"/>
          <w:szCs w:val="18"/>
        </w:rPr>
        <w:t xml:space="preserve"> is a reduced protein formulation for older dogs with health problems. The two dog foods use common raw materials in different proportions. The company expects to produce 80,000 bags of each product during the coming year. </w:t>
      </w:r>
      <w:proofErr w:type="spellStart"/>
      <w:r w:rsidRPr="00C4699D">
        <w:rPr>
          <w:rFonts w:ascii="Verdana" w:eastAsia="Times New Roman" w:hAnsi="Verdana" w:cs="Times New Roman"/>
          <w:color w:val="333333"/>
          <w:sz w:val="18"/>
          <w:szCs w:val="18"/>
        </w:rPr>
        <w:t>BasicDiet</w:t>
      </w:r>
      <w:proofErr w:type="spellEnd"/>
      <w:r w:rsidRPr="00C4699D">
        <w:rPr>
          <w:rFonts w:ascii="Verdana" w:eastAsia="Times New Roman" w:hAnsi="Verdana" w:cs="Times New Roman"/>
          <w:color w:val="333333"/>
          <w:sz w:val="18"/>
          <w:szCs w:val="18"/>
        </w:rPr>
        <w:t xml:space="preserve"> requires 0.20 direct labor hours per bag, and </w:t>
      </w:r>
      <w:proofErr w:type="spellStart"/>
      <w:r w:rsidRPr="00C4699D">
        <w:rPr>
          <w:rFonts w:ascii="Verdana" w:eastAsia="Times New Roman" w:hAnsi="Verdana" w:cs="Times New Roman"/>
          <w:color w:val="333333"/>
          <w:sz w:val="18"/>
          <w:szCs w:val="18"/>
        </w:rPr>
        <w:t>SpecialDiet</w:t>
      </w:r>
      <w:proofErr w:type="spellEnd"/>
      <w:r w:rsidRPr="00C4699D">
        <w:rPr>
          <w:rFonts w:ascii="Verdana" w:eastAsia="Times New Roman" w:hAnsi="Verdana" w:cs="Times New Roman"/>
          <w:color w:val="333333"/>
          <w:sz w:val="18"/>
          <w:szCs w:val="18"/>
        </w:rPr>
        <w:t xml:space="preserve"> requires 0.30 direct labor hours per bag. </w:t>
      </w:r>
      <w:proofErr w:type="spellStart"/>
      <w:r w:rsidRPr="00C4699D">
        <w:rPr>
          <w:rFonts w:ascii="Verdana" w:eastAsia="Times New Roman" w:hAnsi="Verdana" w:cs="Times New Roman"/>
          <w:color w:val="333333"/>
          <w:sz w:val="18"/>
          <w:szCs w:val="18"/>
        </w:rPr>
        <w:t>Ladan</w:t>
      </w:r>
      <w:proofErr w:type="spellEnd"/>
      <w:r w:rsidRPr="00C4699D">
        <w:rPr>
          <w:rFonts w:ascii="Verdana" w:eastAsia="Times New Roman" w:hAnsi="Verdana" w:cs="Times New Roman"/>
          <w:color w:val="333333"/>
          <w:sz w:val="18"/>
          <w:szCs w:val="18"/>
        </w:rPr>
        <w:t xml:space="preserve"> has developed the following fixed and variable costs for each of the four overhead items:</w:t>
      </w:r>
    </w:p>
    <w:tbl>
      <w:tblPr>
        <w:tblW w:w="7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250"/>
        <w:gridCol w:w="1800"/>
        <w:gridCol w:w="3450"/>
      </w:tblGrid>
      <w:tr w:rsidR="00C4699D" w:rsidRPr="00C4699D" w:rsidTr="00C4699D">
        <w:trPr>
          <w:tblCellSpacing w:w="0" w:type="dxa"/>
        </w:trPr>
        <w:tc>
          <w:tcPr>
            <w:tcW w:w="2250" w:type="dxa"/>
            <w:tcBorders>
              <w:bottom w:val="single" w:sz="6" w:space="0" w:color="auto"/>
            </w:tcBorders>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Overhead Item</w:t>
            </w:r>
          </w:p>
        </w:tc>
        <w:tc>
          <w:tcPr>
            <w:tcW w:w="1800" w:type="dxa"/>
            <w:tcBorders>
              <w:bottom w:val="single" w:sz="6" w:space="0" w:color="auto"/>
            </w:tcBorders>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Fixed Cost</w:t>
            </w:r>
          </w:p>
        </w:tc>
        <w:tc>
          <w:tcPr>
            <w:tcW w:w="0" w:type="auto"/>
            <w:tcBorders>
              <w:bottom w:val="single" w:sz="6" w:space="0" w:color="auto"/>
            </w:tcBorders>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Variable Rate per</w:t>
            </w:r>
            <w:r w:rsidRPr="00C4699D">
              <w:rPr>
                <w:rFonts w:ascii="Verdana" w:eastAsia="Times New Roman" w:hAnsi="Verdana" w:cs="Times New Roman"/>
                <w:b/>
                <w:bCs/>
                <w:color w:val="333333"/>
                <w:sz w:val="18"/>
                <w:szCs w:val="18"/>
              </w:rPr>
              <w:br/>
              <w:t>Direct Labor Hour</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Maintenance</w:t>
            </w:r>
          </w:p>
        </w:tc>
        <w:tc>
          <w:tcPr>
            <w:tcW w:w="0" w:type="auto"/>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$57,250</w:t>
            </w:r>
          </w:p>
        </w:tc>
        <w:tc>
          <w:tcPr>
            <w:tcW w:w="0" w:type="auto"/>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$0.50</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Power</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0.40</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Indirect labor</w:t>
            </w:r>
          </w:p>
        </w:tc>
        <w:tc>
          <w:tcPr>
            <w:tcW w:w="0" w:type="auto"/>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43,500</w:t>
            </w:r>
          </w:p>
        </w:tc>
        <w:tc>
          <w:tcPr>
            <w:tcW w:w="0" w:type="auto"/>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2.10</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Rent</w:t>
            </w:r>
          </w:p>
        </w:tc>
        <w:tc>
          <w:tcPr>
            <w:tcW w:w="0" w:type="auto"/>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39,000</w:t>
            </w:r>
          </w:p>
        </w:tc>
        <w:tc>
          <w:tcPr>
            <w:tcW w:w="0" w:type="auto"/>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p>
        </w:tc>
      </w:tr>
    </w:tbl>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xml:space="preserve">Assume that Healthy Pet actually produced 100,000 bags of </w:t>
      </w:r>
      <w:proofErr w:type="spellStart"/>
      <w:r w:rsidRPr="00C4699D">
        <w:rPr>
          <w:rFonts w:ascii="Verdana" w:eastAsia="Times New Roman" w:hAnsi="Verdana" w:cs="Times New Roman"/>
          <w:color w:val="333333"/>
          <w:sz w:val="18"/>
          <w:szCs w:val="18"/>
        </w:rPr>
        <w:t>BasicDiet</w:t>
      </w:r>
      <w:proofErr w:type="spellEnd"/>
      <w:r w:rsidRPr="00C4699D">
        <w:rPr>
          <w:rFonts w:ascii="Verdana" w:eastAsia="Times New Roman" w:hAnsi="Verdana" w:cs="Times New Roman"/>
          <w:color w:val="333333"/>
          <w:sz w:val="18"/>
          <w:szCs w:val="18"/>
        </w:rPr>
        <w:t xml:space="preserve"> and 90,000 bags of </w:t>
      </w:r>
      <w:proofErr w:type="spellStart"/>
      <w:r w:rsidRPr="00C4699D">
        <w:rPr>
          <w:rFonts w:ascii="Verdana" w:eastAsia="Times New Roman" w:hAnsi="Verdana" w:cs="Times New Roman"/>
          <w:color w:val="333333"/>
          <w:sz w:val="18"/>
          <w:szCs w:val="18"/>
        </w:rPr>
        <w:t>SpecialDiet</w:t>
      </w:r>
      <w:proofErr w:type="spellEnd"/>
      <w:r w:rsidRPr="00C4699D">
        <w:rPr>
          <w:rFonts w:ascii="Verdana" w:eastAsia="Times New Roman" w:hAnsi="Verdana" w:cs="Times New Roman"/>
          <w:color w:val="333333"/>
          <w:sz w:val="18"/>
          <w:szCs w:val="18"/>
        </w:rPr>
        <w:t>. The actual overhead costs incurred were as follows:</w:t>
      </w:r>
    </w:p>
    <w:tbl>
      <w:tblPr>
        <w:tblW w:w="7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998"/>
        <w:gridCol w:w="1370"/>
        <w:gridCol w:w="450"/>
        <w:gridCol w:w="2127"/>
        <w:gridCol w:w="1555"/>
      </w:tblGrid>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Maintenance</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$81,300</w:t>
            </w:r>
          </w:p>
        </w:tc>
        <w:tc>
          <w:tcPr>
            <w:tcW w:w="450" w:type="dxa"/>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Indirect labor</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$143,600</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Power</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18,700</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Rent</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39,000</w:t>
            </w:r>
          </w:p>
        </w:tc>
      </w:tr>
    </w:tbl>
    <w:p w:rsidR="004C5CE6" w:rsidRDefault="00C4699D"/>
    <w:p w:rsidR="00C4699D" w:rsidRDefault="00C4699D"/>
    <w:p w:rsidR="00C4699D" w:rsidRDefault="00C4699D">
      <w:pPr>
        <w:rPr>
          <w:rFonts w:ascii="Verdana" w:hAnsi="Verdana"/>
          <w:color w:val="333333"/>
          <w:sz w:val="18"/>
          <w:szCs w:val="18"/>
          <w:shd w:val="clear" w:color="auto" w:fill="FFFFFF"/>
        </w:rPr>
      </w:pPr>
      <w:r>
        <w:rPr>
          <w:rStyle w:val="Strong"/>
          <w:rFonts w:ascii="Verdana" w:hAnsi="Verdana"/>
          <w:color w:val="333333"/>
          <w:sz w:val="18"/>
          <w:szCs w:val="18"/>
          <w:shd w:val="clear" w:color="auto" w:fill="FFFFFF"/>
        </w:rPr>
        <w:t>1.  </w:t>
      </w:r>
      <w:r>
        <w:rPr>
          <w:rFonts w:ascii="Verdana" w:hAnsi="Verdana"/>
          <w:color w:val="333333"/>
          <w:sz w:val="18"/>
          <w:szCs w:val="18"/>
          <w:shd w:val="clear" w:color="auto" w:fill="FFFFFF"/>
        </w:rPr>
        <w:t>Calculate the number of direct labor hours budgeted for actual production of the two products.</w:t>
      </w:r>
      <w:r>
        <w:rPr>
          <w:rFonts w:ascii="Verdana" w:hAnsi="Verdana"/>
          <w:color w:val="333333"/>
          <w:sz w:val="18"/>
          <w:szCs w:val="18"/>
        </w:rPr>
        <w:br/>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pt" o:ole="">
            <v:imagedata r:id="rId5" o:title=""/>
          </v:shape>
          <w:control r:id="rId6" w:name="DefaultOcxName" w:shapeid="_x0000_i1027"/>
        </w:object>
      </w:r>
      <w:r>
        <w:rPr>
          <w:rStyle w:val="apple-converted-space"/>
          <w:rFonts w:ascii="Verdana" w:hAnsi="Verdana"/>
          <w:color w:val="333333"/>
          <w:sz w:val="18"/>
          <w:szCs w:val="18"/>
          <w:shd w:val="clear" w:color="auto" w:fill="FFFFFF"/>
        </w:rPr>
        <w:t> </w:t>
      </w:r>
      <w:proofErr w:type="gramStart"/>
      <w:r>
        <w:rPr>
          <w:rFonts w:ascii="Verdana" w:hAnsi="Verdana"/>
          <w:color w:val="333333"/>
          <w:sz w:val="18"/>
          <w:szCs w:val="18"/>
          <w:shd w:val="clear" w:color="auto" w:fill="FFFFFF"/>
        </w:rPr>
        <w:t>direct</w:t>
      </w:r>
      <w:proofErr w:type="gramEnd"/>
      <w:r>
        <w:rPr>
          <w:rFonts w:ascii="Verdana" w:hAnsi="Verdana"/>
          <w:color w:val="333333"/>
          <w:sz w:val="18"/>
          <w:szCs w:val="18"/>
          <w:shd w:val="clear" w:color="auto" w:fill="FFFFFF"/>
        </w:rPr>
        <w:t xml:space="preserve"> labor hours</w:t>
      </w:r>
    </w:p>
    <w:p w:rsidR="00C4699D" w:rsidRDefault="00C4699D">
      <w:pPr>
        <w:rPr>
          <w:rFonts w:ascii="Verdana" w:hAnsi="Verdana"/>
          <w:color w:val="333333"/>
          <w:sz w:val="18"/>
          <w:szCs w:val="18"/>
          <w:shd w:val="clear" w:color="auto" w:fill="FFFFFF"/>
        </w:rPr>
      </w:pPr>
    </w:p>
    <w:p w:rsidR="00C4699D" w:rsidRDefault="00C4699D">
      <w:pPr>
        <w:rPr>
          <w:rFonts w:ascii="Verdana" w:hAnsi="Verdana"/>
          <w:color w:val="333333"/>
          <w:sz w:val="18"/>
          <w:szCs w:val="18"/>
          <w:shd w:val="clear" w:color="auto" w:fill="FFFFFF"/>
        </w:rPr>
      </w:pPr>
    </w:p>
    <w:p w:rsidR="00C4699D" w:rsidRPr="00C4699D" w:rsidRDefault="00C4699D" w:rsidP="00C4699D">
      <w:pPr>
        <w:shd w:val="clear" w:color="auto" w:fill="FFFFFF"/>
        <w:spacing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2.  </w:t>
      </w:r>
      <w:r w:rsidRPr="00C4699D">
        <w:rPr>
          <w:rFonts w:ascii="Verdana" w:eastAsia="Times New Roman" w:hAnsi="Verdana" w:cs="Times New Roman"/>
          <w:color w:val="333333"/>
          <w:sz w:val="18"/>
          <w:szCs w:val="18"/>
        </w:rPr>
        <w:t>Prepare a performance report for the period based on actual production. In the variance type column, select "F" for favorable and "U" for unfavorable. If the variance is zero, enter ("0") in the variance amount column and "N" for neither in the variance type column.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89"/>
        <w:gridCol w:w="1350"/>
        <w:gridCol w:w="1350"/>
        <w:gridCol w:w="1350"/>
        <w:gridCol w:w="931"/>
      </w:tblGrid>
      <w:tr w:rsidR="00C4699D" w:rsidRPr="00C4699D" w:rsidTr="00C4699D">
        <w:trPr>
          <w:tblCellSpacing w:w="15" w:type="dxa"/>
        </w:trPr>
        <w:tc>
          <w:tcPr>
            <w:tcW w:w="6" w:type="dxa"/>
            <w:gridSpan w:val="5"/>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jc w:val="center"/>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Healthy Pet Company</w:t>
            </w:r>
          </w:p>
        </w:tc>
      </w:tr>
      <w:tr w:rsidR="00C4699D" w:rsidRPr="00C4699D" w:rsidTr="00C4699D">
        <w:trPr>
          <w:tblCellSpacing w:w="15" w:type="dxa"/>
        </w:trPr>
        <w:tc>
          <w:tcPr>
            <w:tcW w:w="6" w:type="dxa"/>
            <w:gridSpan w:val="5"/>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jc w:val="center"/>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Performance Report</w:t>
            </w:r>
          </w:p>
        </w:tc>
      </w:tr>
      <w:tr w:rsidR="00C4699D" w:rsidRPr="00C4699D" w:rsidTr="00C4699D">
        <w:trPr>
          <w:tblCellSpacing w:w="15" w:type="dxa"/>
        </w:trPr>
        <w:tc>
          <w:tcPr>
            <w:tcW w:w="6" w:type="dxa"/>
            <w:gridSpan w:val="5"/>
            <w:tcBorders>
              <w:bottom w:val="single" w:sz="12" w:space="0" w:color="000000"/>
            </w:tcBorders>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jc w:val="center"/>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lastRenderedPageBreak/>
              <w:t>For the Current Year</w:t>
            </w:r>
          </w:p>
        </w:tc>
      </w:tr>
      <w:tr w:rsidR="00C4699D" w:rsidRPr="00C4699D" w:rsidTr="00C4699D">
        <w:trPr>
          <w:tblCellSpacing w:w="15" w:type="dxa"/>
        </w:trPr>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jc w:val="center"/>
              <w:rPr>
                <w:rFonts w:ascii="Verdana" w:eastAsia="Times New Roman" w:hAnsi="Verdana" w:cs="Times New Roman"/>
                <w:color w:val="333333"/>
                <w:sz w:val="18"/>
                <w:szCs w:val="18"/>
              </w:rPr>
            </w:pP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Actual</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Budgeted</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Variance</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Variance Type (F or U or N)</w:t>
            </w:r>
          </w:p>
        </w:tc>
      </w:tr>
      <w:tr w:rsidR="00C4699D" w:rsidRPr="00C4699D" w:rsidTr="00C4699D">
        <w:trPr>
          <w:tblCellSpacing w:w="15" w:type="dxa"/>
        </w:trPr>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Units produced</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81" type="#_x0000_t75" style="width:60.75pt;height:18pt" o:ole="">
                  <v:imagedata r:id="rId7" o:title=""/>
                </v:shape>
                <w:control r:id="rId8" w:name="DefaultOcxName18" w:shapeid="_x0000_i1081"/>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80" type="#_x0000_t75" style="width:60.75pt;height:18pt" o:ole="">
                  <v:imagedata r:id="rId7" o:title=""/>
                </v:shape>
                <w:control r:id="rId9" w:name="DefaultOcxName1" w:shapeid="_x0000_i1080"/>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79" type="#_x0000_t75" style="width:60.75pt;height:18pt" o:ole="">
                  <v:imagedata r:id="rId7" o:title=""/>
                </v:shape>
                <w:control r:id="rId10" w:name="DefaultOcxName2" w:shapeid="_x0000_i1079"/>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b/>
                <w:bCs/>
                <w:color w:val="5393C5"/>
                <w:sz w:val="18"/>
                <w:szCs w:val="18"/>
              </w:rPr>
              <w:t> </w:t>
            </w:r>
          </w:p>
        </w:tc>
      </w:tr>
      <w:tr w:rsidR="00C4699D" w:rsidRPr="00C4699D" w:rsidTr="00C4699D">
        <w:trPr>
          <w:tblCellSpacing w:w="15" w:type="dxa"/>
        </w:trPr>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Production unit:</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Times New Roman" w:eastAsia="Times New Roman" w:hAnsi="Times New Roman" w:cs="Times New Roman"/>
                <w:sz w:val="20"/>
                <w:szCs w:val="20"/>
              </w:rPr>
            </w:pP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Times New Roman" w:eastAsia="Times New Roman" w:hAnsi="Times New Roman" w:cs="Times New Roman"/>
                <w:sz w:val="20"/>
                <w:szCs w:val="20"/>
              </w:rPr>
            </w:pP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Times New Roman" w:eastAsia="Times New Roman" w:hAnsi="Times New Roman" w:cs="Times New Roman"/>
                <w:sz w:val="20"/>
                <w:szCs w:val="20"/>
              </w:rPr>
            </w:pPr>
          </w:p>
        </w:tc>
      </w:tr>
      <w:tr w:rsidR="00C4699D" w:rsidRPr="00C4699D" w:rsidTr="00C4699D">
        <w:trPr>
          <w:tblCellSpacing w:w="15" w:type="dxa"/>
        </w:trPr>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Maintenance</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w:t>
            </w:r>
            <w:r w:rsidRPr="00C4699D">
              <w:rPr>
                <w:rFonts w:ascii="Verdana" w:eastAsia="Times New Roman" w:hAnsi="Verdana" w:cs="Times New Roman"/>
                <w:color w:val="333333"/>
                <w:sz w:val="18"/>
                <w:szCs w:val="18"/>
              </w:rPr>
              <w:object w:dxaOrig="1440" w:dyaOrig="1440">
                <v:shape id="_x0000_i1078" type="#_x0000_t75" style="width:60.75pt;height:18pt" o:ole="">
                  <v:imagedata r:id="rId7" o:title=""/>
                </v:shape>
                <w:control r:id="rId11" w:name="DefaultOcxName3" w:shapeid="_x0000_i1078"/>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w:t>
            </w:r>
            <w:r w:rsidRPr="00C4699D">
              <w:rPr>
                <w:rFonts w:ascii="Verdana" w:eastAsia="Times New Roman" w:hAnsi="Verdana" w:cs="Times New Roman"/>
                <w:color w:val="333333"/>
                <w:sz w:val="18"/>
                <w:szCs w:val="18"/>
              </w:rPr>
              <w:object w:dxaOrig="1440" w:dyaOrig="1440">
                <v:shape id="_x0000_i1077" type="#_x0000_t75" style="width:60.75pt;height:18pt" o:ole="">
                  <v:imagedata r:id="rId7" o:title=""/>
                </v:shape>
                <w:control r:id="rId12" w:name="DefaultOcxName4" w:shapeid="_x0000_i1077"/>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w:t>
            </w:r>
            <w:r w:rsidRPr="00C4699D">
              <w:rPr>
                <w:rFonts w:ascii="Verdana" w:eastAsia="Times New Roman" w:hAnsi="Verdana" w:cs="Times New Roman"/>
                <w:color w:val="333333"/>
                <w:sz w:val="18"/>
                <w:szCs w:val="18"/>
              </w:rPr>
              <w:object w:dxaOrig="1440" w:dyaOrig="1440">
                <v:shape id="_x0000_i1076" type="#_x0000_t75" style="width:60.75pt;height:18pt" o:ole="">
                  <v:imagedata r:id="rId7" o:title=""/>
                </v:shape>
                <w:control r:id="rId13" w:name="DefaultOcxName5" w:shapeid="_x0000_i1076"/>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b/>
                <w:bCs/>
                <w:color w:val="5393C5"/>
                <w:sz w:val="18"/>
                <w:szCs w:val="18"/>
              </w:rPr>
              <w:t> </w:t>
            </w:r>
          </w:p>
        </w:tc>
      </w:tr>
      <w:tr w:rsidR="00C4699D" w:rsidRPr="00C4699D" w:rsidTr="00C4699D">
        <w:trPr>
          <w:tblCellSpacing w:w="15" w:type="dxa"/>
        </w:trPr>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Power</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75" type="#_x0000_t75" style="width:60.75pt;height:18pt" o:ole="">
                  <v:imagedata r:id="rId7" o:title=""/>
                </v:shape>
                <w:control r:id="rId14" w:name="DefaultOcxName6" w:shapeid="_x0000_i1075"/>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74" type="#_x0000_t75" style="width:60.75pt;height:18pt" o:ole="">
                  <v:imagedata r:id="rId7" o:title=""/>
                </v:shape>
                <w:control r:id="rId15" w:name="DefaultOcxName7" w:shapeid="_x0000_i1074"/>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73" type="#_x0000_t75" style="width:60.75pt;height:18pt" o:ole="">
                  <v:imagedata r:id="rId7" o:title=""/>
                </v:shape>
                <w:control r:id="rId16" w:name="DefaultOcxName8" w:shapeid="_x0000_i1073"/>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b/>
                <w:bCs/>
                <w:color w:val="5393C5"/>
                <w:sz w:val="18"/>
                <w:szCs w:val="18"/>
              </w:rPr>
              <w:t> </w:t>
            </w:r>
          </w:p>
        </w:tc>
      </w:tr>
      <w:tr w:rsidR="00C4699D" w:rsidRPr="00C4699D" w:rsidTr="00C4699D">
        <w:trPr>
          <w:tblCellSpacing w:w="15" w:type="dxa"/>
        </w:trPr>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Indirect labor</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72" type="#_x0000_t75" style="width:60.75pt;height:18pt" o:ole="">
                  <v:imagedata r:id="rId7" o:title=""/>
                </v:shape>
                <w:control r:id="rId17" w:name="DefaultOcxName9" w:shapeid="_x0000_i1072"/>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71" type="#_x0000_t75" style="width:60.75pt;height:18pt" o:ole="">
                  <v:imagedata r:id="rId7" o:title=""/>
                </v:shape>
                <w:control r:id="rId18" w:name="DefaultOcxName10" w:shapeid="_x0000_i1071"/>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70" type="#_x0000_t75" style="width:60.75pt;height:18pt" o:ole="">
                  <v:imagedata r:id="rId7" o:title=""/>
                </v:shape>
                <w:control r:id="rId19" w:name="DefaultOcxName11" w:shapeid="_x0000_i1070"/>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b/>
                <w:bCs/>
                <w:color w:val="5393C5"/>
                <w:sz w:val="18"/>
                <w:szCs w:val="18"/>
              </w:rPr>
              <w:t> </w:t>
            </w:r>
          </w:p>
        </w:tc>
      </w:tr>
      <w:tr w:rsidR="00C4699D" w:rsidRPr="00C4699D" w:rsidTr="00C4699D">
        <w:trPr>
          <w:tblCellSpacing w:w="15" w:type="dxa"/>
        </w:trPr>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Rent</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69" type="#_x0000_t75" style="width:60.75pt;height:18pt" o:ole="">
                  <v:imagedata r:id="rId7" o:title=""/>
                </v:shape>
                <w:control r:id="rId20" w:name="DefaultOcxName12" w:shapeid="_x0000_i1069"/>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68" type="#_x0000_t75" style="width:60.75pt;height:18pt" o:ole="">
                  <v:imagedata r:id="rId7" o:title=""/>
                </v:shape>
                <w:control r:id="rId21" w:name="DefaultOcxName13" w:shapeid="_x0000_i1068"/>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067" type="#_x0000_t75" style="width:60.75pt;height:18pt" o:ole="">
                  <v:imagedata r:id="rId7" o:title=""/>
                </v:shape>
                <w:control r:id="rId22" w:name="DefaultOcxName14" w:shapeid="_x0000_i1067"/>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b/>
                <w:bCs/>
                <w:color w:val="5393C5"/>
                <w:sz w:val="18"/>
                <w:szCs w:val="18"/>
              </w:rPr>
              <w:t> </w:t>
            </w:r>
          </w:p>
        </w:tc>
      </w:tr>
      <w:tr w:rsidR="00C4699D" w:rsidRPr="00C4699D" w:rsidTr="00C4699D">
        <w:trPr>
          <w:tblCellSpacing w:w="15" w:type="dxa"/>
        </w:trPr>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Total costs</w: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w:t>
            </w:r>
            <w:r w:rsidRPr="00C4699D">
              <w:rPr>
                <w:rFonts w:ascii="Verdana" w:eastAsia="Times New Roman" w:hAnsi="Verdana" w:cs="Times New Roman"/>
                <w:color w:val="333333"/>
                <w:sz w:val="18"/>
                <w:szCs w:val="18"/>
              </w:rPr>
              <w:object w:dxaOrig="1440" w:dyaOrig="1440">
                <v:shape id="_x0000_i1066" type="#_x0000_t75" style="width:60.75pt;height:18pt" o:ole="">
                  <v:imagedata r:id="rId7" o:title=""/>
                </v:shape>
                <w:control r:id="rId23" w:name="DefaultOcxName15" w:shapeid="_x0000_i1066"/>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w:t>
            </w:r>
            <w:r w:rsidRPr="00C4699D">
              <w:rPr>
                <w:rFonts w:ascii="Verdana" w:eastAsia="Times New Roman" w:hAnsi="Verdana" w:cs="Times New Roman"/>
                <w:color w:val="333333"/>
                <w:sz w:val="18"/>
                <w:szCs w:val="18"/>
              </w:rPr>
              <w:object w:dxaOrig="1440" w:dyaOrig="1440">
                <v:shape id="_x0000_i1065" type="#_x0000_t75" style="width:60.75pt;height:18pt" o:ole="">
                  <v:imagedata r:id="rId7" o:title=""/>
                </v:shape>
                <w:control r:id="rId24" w:name="DefaultOcxName16" w:shapeid="_x0000_i1065"/>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w:t>
            </w:r>
            <w:r w:rsidRPr="00C4699D">
              <w:rPr>
                <w:rFonts w:ascii="Verdana" w:eastAsia="Times New Roman" w:hAnsi="Verdana" w:cs="Times New Roman"/>
                <w:color w:val="333333"/>
                <w:sz w:val="18"/>
                <w:szCs w:val="18"/>
              </w:rPr>
              <w:object w:dxaOrig="1440" w:dyaOrig="1440">
                <v:shape id="_x0000_i1064" type="#_x0000_t75" style="width:60.75pt;height:18pt" o:ole="">
                  <v:imagedata r:id="rId7" o:title=""/>
                </v:shape>
                <w:control r:id="rId25" w:name="DefaultOcxName17" w:shapeid="_x0000_i1064"/>
              </w:object>
            </w:r>
          </w:p>
        </w:tc>
        <w:tc>
          <w:tcPr>
            <w:tcW w:w="6" w:type="dxa"/>
            <w:shd w:val="clear" w:color="auto" w:fill="FFFFFF"/>
            <w:tcMar>
              <w:top w:w="15" w:type="dxa"/>
              <w:left w:w="90" w:type="dxa"/>
              <w:bottom w:w="15" w:type="dxa"/>
              <w:right w:w="15" w:type="dxa"/>
            </w:tcMar>
            <w:vAlign w:val="center"/>
            <w:hideMark/>
          </w:tcPr>
          <w:p w:rsidR="00C4699D" w:rsidRPr="00C4699D" w:rsidRDefault="00C4699D" w:rsidP="00C4699D">
            <w:pPr>
              <w:spacing w:after="0" w:line="240" w:lineRule="auto"/>
              <w:rPr>
                <w:rFonts w:ascii="Verdana" w:eastAsia="Times New Roman" w:hAnsi="Verdana" w:cs="Times New Roman"/>
                <w:color w:val="333333"/>
                <w:sz w:val="18"/>
                <w:szCs w:val="18"/>
              </w:rPr>
            </w:pPr>
            <w:r w:rsidRPr="00C4699D">
              <w:rPr>
                <w:rFonts w:ascii="Verdana" w:eastAsia="Times New Roman" w:hAnsi="Verdana" w:cs="Times New Roman"/>
                <w:b/>
                <w:bCs/>
                <w:color w:val="5393C5"/>
                <w:sz w:val="18"/>
                <w:szCs w:val="18"/>
              </w:rPr>
              <w:t> </w:t>
            </w:r>
          </w:p>
        </w:tc>
      </w:tr>
    </w:tbl>
    <w:p w:rsidR="00C4699D" w:rsidRDefault="00C4699D"/>
    <w:p w:rsidR="00C4699D" w:rsidRDefault="00C4699D"/>
    <w:p w:rsidR="00C4699D" w:rsidRDefault="00C4699D"/>
    <w:p w:rsidR="00C4699D" w:rsidRPr="00C4699D" w:rsidRDefault="00C4699D" w:rsidP="00C4699D">
      <w:pPr>
        <w:shd w:val="clear" w:color="auto" w:fill="FFFFFF"/>
        <w:spacing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Residual Income</w:t>
      </w:r>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Washington Company has two divisions: the Adams Division and the Jefferson Division. The following information pertains to last year's results:</w:t>
      </w:r>
    </w:p>
    <w:tbl>
      <w:tblPr>
        <w:tblW w:w="60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256"/>
        <w:gridCol w:w="1510"/>
        <w:gridCol w:w="227"/>
        <w:gridCol w:w="1744"/>
        <w:gridCol w:w="263"/>
      </w:tblGrid>
      <w:tr w:rsidR="00C4699D" w:rsidRPr="00C4699D" w:rsidTr="00C4699D">
        <w:trPr>
          <w:tblCellSpacing w:w="0" w:type="dxa"/>
        </w:trPr>
        <w:tc>
          <w:tcPr>
            <w:tcW w:w="0" w:type="auto"/>
            <w:tcBorders>
              <w:bottom w:val="single" w:sz="6" w:space="0" w:color="000000"/>
            </w:tcBorders>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w:t>
            </w:r>
          </w:p>
        </w:tc>
        <w:tc>
          <w:tcPr>
            <w:tcW w:w="0" w:type="auto"/>
            <w:gridSpan w:val="2"/>
            <w:tcBorders>
              <w:bottom w:val="single" w:sz="6" w:space="0" w:color="000000"/>
            </w:tcBorders>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Adams Division</w:t>
            </w:r>
          </w:p>
        </w:tc>
        <w:tc>
          <w:tcPr>
            <w:tcW w:w="0" w:type="auto"/>
            <w:gridSpan w:val="2"/>
            <w:tcBorders>
              <w:bottom w:val="single" w:sz="6" w:space="0" w:color="000000"/>
            </w:tcBorders>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Jefferson Division</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Net (after-tax) income</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$611,050</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$374,850</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Total capital employed</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4,440,000</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3,282,500</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w:t>
            </w:r>
          </w:p>
        </w:tc>
      </w:tr>
    </w:tbl>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In addition, Washington Company's top management has set a minimum acceptable rate of return equal to 9%.</w:t>
      </w:r>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Required:</w:t>
      </w:r>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Enter negative values as negative numbers.</w:t>
      </w:r>
    </w:p>
    <w:p w:rsidR="00C4699D" w:rsidRPr="00C4699D" w:rsidRDefault="00C4699D" w:rsidP="00C4699D">
      <w:pPr>
        <w:shd w:val="clear" w:color="auto" w:fill="FFFFFF"/>
        <w:spacing w:beforeAutospacing="1" w:after="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1.  </w:t>
      </w:r>
      <w:r w:rsidRPr="00C4699D">
        <w:rPr>
          <w:rFonts w:ascii="Verdana" w:eastAsia="Times New Roman" w:hAnsi="Verdana" w:cs="Times New Roman"/>
          <w:color w:val="333333"/>
          <w:sz w:val="18"/>
          <w:szCs w:val="18"/>
        </w:rPr>
        <w:t>Calculate the residual income for the Adams Division.</w:t>
      </w:r>
      <w:r w:rsidRPr="00C4699D">
        <w:rPr>
          <w:rFonts w:ascii="Verdana" w:eastAsia="Times New Roman" w:hAnsi="Verdana" w:cs="Times New Roman"/>
          <w:color w:val="333333"/>
          <w:sz w:val="18"/>
          <w:szCs w:val="18"/>
        </w:rPr>
        <w:br/>
        <w:t>$</w:t>
      </w:r>
      <w:r w:rsidRPr="00C4699D">
        <w:rPr>
          <w:rFonts w:ascii="Verdana" w:eastAsia="Times New Roman" w:hAnsi="Verdana" w:cs="Times New Roman"/>
          <w:color w:val="333333"/>
          <w:sz w:val="18"/>
          <w:szCs w:val="18"/>
        </w:rPr>
        <w:object w:dxaOrig="1440" w:dyaOrig="1440">
          <v:shape id="_x0000_i1087" type="#_x0000_t75" style="width:60.75pt;height:18pt" o:ole="">
            <v:imagedata r:id="rId7" o:title=""/>
          </v:shape>
          <w:control r:id="rId26" w:name="DefaultOcxName20" w:shapeid="_x0000_i1087"/>
        </w:object>
      </w:r>
    </w:p>
    <w:p w:rsidR="00C4699D" w:rsidRPr="00C4699D" w:rsidRDefault="00C4699D" w:rsidP="00C4699D">
      <w:pPr>
        <w:shd w:val="clear" w:color="auto" w:fill="FFFFFF"/>
        <w:spacing w:beforeAutospacing="1" w:after="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lastRenderedPageBreak/>
        <w:t>2.  </w:t>
      </w:r>
      <w:r w:rsidRPr="00C4699D">
        <w:rPr>
          <w:rFonts w:ascii="Verdana" w:eastAsia="Times New Roman" w:hAnsi="Verdana" w:cs="Times New Roman"/>
          <w:color w:val="333333"/>
          <w:sz w:val="18"/>
          <w:szCs w:val="18"/>
        </w:rPr>
        <w:t>Calculate the residual income for the Jefferson Division.</w:t>
      </w:r>
      <w:r w:rsidRPr="00C4699D">
        <w:rPr>
          <w:rFonts w:ascii="Verdana" w:eastAsia="Times New Roman" w:hAnsi="Verdana" w:cs="Times New Roman"/>
          <w:color w:val="333333"/>
          <w:sz w:val="18"/>
          <w:szCs w:val="18"/>
        </w:rPr>
        <w:br/>
        <w:t>$</w:t>
      </w:r>
      <w:r w:rsidRPr="00C4699D">
        <w:rPr>
          <w:rFonts w:ascii="Verdana" w:eastAsia="Times New Roman" w:hAnsi="Verdana" w:cs="Times New Roman"/>
          <w:color w:val="333333"/>
          <w:sz w:val="18"/>
          <w:szCs w:val="18"/>
        </w:rPr>
        <w:object w:dxaOrig="1440" w:dyaOrig="1440">
          <v:shape id="_x0000_i1086" type="#_x0000_t75" style="width:60.75pt;height:18pt" o:ole="">
            <v:imagedata r:id="rId7" o:title=""/>
          </v:shape>
          <w:control r:id="rId27" w:name="DefaultOcxName19" w:shapeid="_x0000_i1086"/>
        </w:object>
      </w:r>
    </w:p>
    <w:p w:rsidR="00C4699D" w:rsidRPr="00C4699D" w:rsidRDefault="00C4699D" w:rsidP="00C4699D">
      <w:pPr>
        <w:shd w:val="clear" w:color="auto" w:fill="FFFFFF"/>
        <w:spacing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Return on Investment, Margin, Turnover</w:t>
      </w:r>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Ready Electronics is facing stiff competition from imported goods. Its operating income margin has been declining steadily for the past several years. The company has been forced to lower prices so that it can maintain its market share. The operating results for the past 3 years are as follows:</w:t>
      </w:r>
    </w:p>
    <w:tbl>
      <w:tblPr>
        <w:tblW w:w="60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902"/>
        <w:gridCol w:w="1404"/>
        <w:gridCol w:w="1347"/>
        <w:gridCol w:w="1347"/>
      </w:tblGrid>
      <w:tr w:rsidR="00C4699D" w:rsidRPr="00C4699D" w:rsidTr="00C4699D">
        <w:trPr>
          <w:tblCellSpacing w:w="0" w:type="dxa"/>
        </w:trPr>
        <w:tc>
          <w:tcPr>
            <w:tcW w:w="0" w:type="auto"/>
            <w:tcBorders>
              <w:bottom w:val="single" w:sz="6" w:space="0" w:color="000000"/>
            </w:tcBorders>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w:t>
            </w:r>
          </w:p>
        </w:tc>
        <w:tc>
          <w:tcPr>
            <w:tcW w:w="0" w:type="auto"/>
            <w:tcBorders>
              <w:bottom w:val="single" w:sz="6" w:space="0" w:color="000000"/>
            </w:tcBorders>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Year 1</w:t>
            </w:r>
          </w:p>
        </w:tc>
        <w:tc>
          <w:tcPr>
            <w:tcW w:w="0" w:type="auto"/>
            <w:tcBorders>
              <w:bottom w:val="single" w:sz="6" w:space="0" w:color="000000"/>
            </w:tcBorders>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Year 2</w:t>
            </w:r>
          </w:p>
        </w:tc>
        <w:tc>
          <w:tcPr>
            <w:tcW w:w="0" w:type="auto"/>
            <w:tcBorders>
              <w:bottom w:val="single" w:sz="6" w:space="0" w:color="000000"/>
            </w:tcBorders>
            <w:shd w:val="clear" w:color="auto" w:fill="FFFFFF"/>
            <w:vAlign w:val="center"/>
            <w:hideMark/>
          </w:tcPr>
          <w:p w:rsidR="00C4699D" w:rsidRPr="00C4699D" w:rsidRDefault="00C4699D" w:rsidP="00C4699D">
            <w:pPr>
              <w:spacing w:after="0" w:line="360" w:lineRule="atLeast"/>
              <w:jc w:val="center"/>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Year 3</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Sales</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$13,500,000</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$ 9,500,000</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$ 9,000,000</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Operating income</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1,200,000</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1,145,000</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945,000</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Average assets</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15,000,000</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15,000,000</w:t>
            </w:r>
          </w:p>
        </w:tc>
        <w:tc>
          <w:tcPr>
            <w:tcW w:w="0" w:type="auto"/>
            <w:shd w:val="clear" w:color="auto" w:fill="FFFFFF"/>
            <w:vAlign w:val="center"/>
            <w:hideMark/>
          </w:tcPr>
          <w:p w:rsidR="00C4699D" w:rsidRPr="00C4699D" w:rsidRDefault="00C4699D" w:rsidP="00C4699D">
            <w:pPr>
              <w:spacing w:after="0" w:line="360" w:lineRule="atLeast"/>
              <w:jc w:val="righ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16,250,000</w:t>
            </w:r>
          </w:p>
        </w:tc>
      </w:tr>
    </w:tbl>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For the coming year, Ready's president plans to install a JIT purchasing and manufacturing system. She estimates that inventories will be reduced by 70% during the first year of operations, producing a 20% reduction in the average operating assets of the company, which would remain unchanged without the JIT system. She also estimates that sales and operating income will be restored to Year 1 levels because of simultaneous reductions in operating expenses and selling prices. Lower selling prices will allow Ready to expand its market share.</w:t>
      </w:r>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w:t>
      </w:r>
      <w:r w:rsidRPr="00C4699D">
        <w:rPr>
          <w:rFonts w:ascii="Verdana" w:eastAsia="Times New Roman" w:hAnsi="Verdana" w:cs="Times New Roman"/>
          <w:i/>
          <w:iCs/>
          <w:color w:val="333333"/>
          <w:sz w:val="18"/>
          <w:szCs w:val="18"/>
        </w:rPr>
        <w:t>Note:</w:t>
      </w:r>
      <w:r w:rsidRPr="00C4699D">
        <w:rPr>
          <w:rFonts w:ascii="Verdana" w:eastAsia="Times New Roman" w:hAnsi="Verdana" w:cs="Times New Roman"/>
          <w:color w:val="333333"/>
          <w:sz w:val="18"/>
          <w:szCs w:val="18"/>
        </w:rPr>
        <w:t> Round all numbers to two decimal places.)</w:t>
      </w:r>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Required:</w:t>
      </w:r>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1.  </w:t>
      </w:r>
      <w:r w:rsidRPr="00C4699D">
        <w:rPr>
          <w:rFonts w:ascii="Verdana" w:eastAsia="Times New Roman" w:hAnsi="Verdana" w:cs="Times New Roman"/>
          <w:color w:val="333333"/>
          <w:sz w:val="18"/>
          <w:szCs w:val="18"/>
        </w:rPr>
        <w:t>Compute the ROI, margin, and turnover for Years 1, 2, and 3.</w:t>
      </w:r>
    </w:p>
    <w:tbl>
      <w:tblPr>
        <w:tblW w:w="82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338"/>
        <w:gridCol w:w="2304"/>
        <w:gridCol w:w="2304"/>
        <w:gridCol w:w="2304"/>
      </w:tblGrid>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Year 1</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Year 2</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Year 3</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ROI</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41" type="#_x0000_t75" style="width:60.75pt;height:18pt" o:ole="">
                  <v:imagedata r:id="rId7" o:title=""/>
                </v:shape>
                <w:control r:id="rId28" w:name="DefaultOcxName22" w:shapeid="_x0000_i1141"/>
              </w:object>
            </w:r>
            <w:r w:rsidRPr="00C4699D">
              <w:rPr>
                <w:rFonts w:ascii="Verdana" w:eastAsia="Times New Roman" w:hAnsi="Verdana" w:cs="Times New Roman"/>
                <w:color w:val="333333"/>
                <w:sz w:val="18"/>
                <w:szCs w:val="18"/>
              </w:rPr>
              <w:t> %</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40" type="#_x0000_t75" style="width:60.75pt;height:18pt" o:ole="">
                  <v:imagedata r:id="rId7" o:title=""/>
                </v:shape>
                <w:control r:id="rId29" w:name="DefaultOcxName110" w:shapeid="_x0000_i1140"/>
              </w:object>
            </w:r>
            <w:r w:rsidRPr="00C4699D">
              <w:rPr>
                <w:rFonts w:ascii="Verdana" w:eastAsia="Times New Roman" w:hAnsi="Verdana" w:cs="Times New Roman"/>
                <w:color w:val="333333"/>
                <w:sz w:val="18"/>
                <w:szCs w:val="18"/>
              </w:rPr>
              <w:t> %</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9" type="#_x0000_t75" style="width:60.75pt;height:18pt" o:ole="">
                  <v:imagedata r:id="rId7" o:title=""/>
                </v:shape>
                <w:control r:id="rId30" w:name="DefaultOcxName21" w:shapeid="_x0000_i1139"/>
              </w:object>
            </w:r>
            <w:r w:rsidRPr="00C4699D">
              <w:rPr>
                <w:rFonts w:ascii="Verdana" w:eastAsia="Times New Roman" w:hAnsi="Verdana" w:cs="Times New Roman"/>
                <w:color w:val="333333"/>
                <w:sz w:val="18"/>
                <w:szCs w:val="18"/>
              </w:rPr>
              <w:t> %</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Margin</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8" type="#_x0000_t75" style="width:60.75pt;height:18pt" o:ole="">
                  <v:imagedata r:id="rId7" o:title=""/>
                </v:shape>
                <w:control r:id="rId31" w:name="DefaultOcxName31" w:shapeid="_x0000_i1138"/>
              </w:object>
            </w:r>
            <w:r w:rsidRPr="00C4699D">
              <w:rPr>
                <w:rFonts w:ascii="Verdana" w:eastAsia="Times New Roman" w:hAnsi="Verdana" w:cs="Times New Roman"/>
                <w:color w:val="333333"/>
                <w:sz w:val="18"/>
                <w:szCs w:val="18"/>
              </w:rPr>
              <w:t> %</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7" type="#_x0000_t75" style="width:60.75pt;height:18pt" o:ole="">
                  <v:imagedata r:id="rId7" o:title=""/>
                </v:shape>
                <w:control r:id="rId32" w:name="DefaultOcxName41" w:shapeid="_x0000_i1137"/>
              </w:object>
            </w:r>
            <w:r w:rsidRPr="00C4699D">
              <w:rPr>
                <w:rFonts w:ascii="Verdana" w:eastAsia="Times New Roman" w:hAnsi="Verdana" w:cs="Times New Roman"/>
                <w:color w:val="333333"/>
                <w:sz w:val="18"/>
                <w:szCs w:val="18"/>
              </w:rPr>
              <w:t> %</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6" type="#_x0000_t75" style="width:60.75pt;height:18pt" o:ole="">
                  <v:imagedata r:id="rId7" o:title=""/>
                </v:shape>
                <w:control r:id="rId33" w:name="DefaultOcxName51" w:shapeid="_x0000_i1136"/>
              </w:object>
            </w:r>
            <w:r w:rsidRPr="00C4699D">
              <w:rPr>
                <w:rFonts w:ascii="Verdana" w:eastAsia="Times New Roman" w:hAnsi="Verdana" w:cs="Times New Roman"/>
                <w:color w:val="333333"/>
                <w:sz w:val="18"/>
                <w:szCs w:val="18"/>
              </w:rPr>
              <w:t> %</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Turnover</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5" type="#_x0000_t75" style="width:60.75pt;height:18pt" o:ole="">
                  <v:imagedata r:id="rId7" o:title=""/>
                </v:shape>
                <w:control r:id="rId34" w:name="DefaultOcxName61" w:shapeid="_x0000_i1135"/>
              </w:objec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4" type="#_x0000_t75" style="width:60.75pt;height:18pt" o:ole="">
                  <v:imagedata r:id="rId7" o:title=""/>
                </v:shape>
                <w:control r:id="rId35" w:name="DefaultOcxName71" w:shapeid="_x0000_i1134"/>
              </w:objec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3" type="#_x0000_t75" style="width:60.75pt;height:18pt" o:ole="">
                  <v:imagedata r:id="rId7" o:title=""/>
                </v:shape>
                <w:control r:id="rId36" w:name="DefaultOcxName81" w:shapeid="_x0000_i1133"/>
              </w:object>
            </w:r>
          </w:p>
        </w:tc>
      </w:tr>
    </w:tbl>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2.  </w:t>
      </w:r>
      <w:r w:rsidRPr="00C4699D">
        <w:rPr>
          <w:rFonts w:ascii="Verdana" w:eastAsia="Times New Roman" w:hAnsi="Verdana" w:cs="Times New Roman"/>
          <w:color w:val="333333"/>
          <w:sz w:val="18"/>
          <w:szCs w:val="18"/>
        </w:rPr>
        <w:t>Conceptual Connection: Suppose that in Year 4 the sales and operating income were achieved as expected, but inventories remained at the same level as in Year 3. Compute the expected ROI, margin, and turnover.</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555"/>
        <w:gridCol w:w="2681"/>
        <w:gridCol w:w="264"/>
      </w:tblGrid>
      <w:tr w:rsidR="00C4699D" w:rsidRPr="00C4699D" w:rsidTr="00C4699D">
        <w:trPr>
          <w:gridAfter w:val="1"/>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lastRenderedPageBreak/>
              <w:t>ROI</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2" type="#_x0000_t75" style="width:60.75pt;height:18pt" o:ole="">
                  <v:imagedata r:id="rId7" o:title=""/>
                </v:shape>
                <w:control r:id="rId37" w:name="DefaultOcxName91" w:shapeid="_x0000_i1132"/>
              </w:object>
            </w:r>
            <w:r w:rsidRPr="00C4699D">
              <w:rPr>
                <w:rFonts w:ascii="Verdana" w:eastAsia="Times New Roman" w:hAnsi="Verdana" w:cs="Times New Roman"/>
                <w:color w:val="333333"/>
                <w:sz w:val="18"/>
                <w:szCs w:val="18"/>
              </w:rPr>
              <w:t> %</w:t>
            </w:r>
          </w:p>
        </w:tc>
      </w:tr>
      <w:tr w:rsidR="00C4699D" w:rsidRPr="00C4699D" w:rsidTr="00C4699D">
        <w:trPr>
          <w:gridAfter w:val="1"/>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Margin</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1" type="#_x0000_t75" style="width:60.75pt;height:18pt" o:ole="">
                  <v:imagedata r:id="rId7" o:title=""/>
                </v:shape>
                <w:control r:id="rId38" w:name="DefaultOcxName101" w:shapeid="_x0000_i1131"/>
              </w:object>
            </w:r>
            <w:r w:rsidRPr="00C4699D">
              <w:rPr>
                <w:rFonts w:ascii="Verdana" w:eastAsia="Times New Roman" w:hAnsi="Verdana" w:cs="Times New Roman"/>
                <w:color w:val="333333"/>
                <w:sz w:val="18"/>
                <w:szCs w:val="18"/>
              </w:rPr>
              <w:t> %</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Turnover</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30" type="#_x0000_t75" style="width:60.75pt;height:18pt" o:ole="">
                  <v:imagedata r:id="rId7" o:title=""/>
                </v:shape>
                <w:control r:id="rId39" w:name="DefaultOcxName111" w:shapeid="_x0000_i1130"/>
              </w:objec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 </w:t>
            </w:r>
          </w:p>
        </w:tc>
      </w:tr>
    </w:tbl>
    <w:p w:rsidR="00C4699D" w:rsidRPr="00C4699D" w:rsidRDefault="00C4699D" w:rsidP="00C4699D">
      <w:pPr>
        <w:numPr>
          <w:ilvl w:val="0"/>
          <w:numId w:val="3"/>
        </w:numPr>
        <w:pBdr>
          <w:top w:val="single" w:sz="24" w:space="0" w:color="5393C5"/>
          <w:left w:val="single" w:sz="24" w:space="0" w:color="5393C5"/>
          <w:bottom w:val="single" w:sz="6" w:space="4" w:color="5393C5"/>
          <w:right w:val="single" w:sz="24" w:space="0" w:color="5393C5"/>
        </w:pBdr>
        <w:shd w:val="clear" w:color="auto" w:fill="FFFFFF"/>
        <w:spacing w:before="100" w:beforeAutospacing="1" w:after="100" w:afterAutospacing="1" w:line="360" w:lineRule="atLeast"/>
        <w:ind w:left="0"/>
        <w:jc w:val="center"/>
        <w:rPr>
          <w:rFonts w:ascii="Verdana" w:eastAsia="Times New Roman" w:hAnsi="Verdana" w:cs="Times New Roman"/>
          <w:color w:val="000000"/>
          <w:sz w:val="18"/>
          <w:szCs w:val="18"/>
        </w:rPr>
      </w:pPr>
      <w:r w:rsidRPr="00C4699D">
        <w:rPr>
          <w:rFonts w:ascii="Verdana" w:eastAsia="Times New Roman" w:hAnsi="Verdana" w:cs="Times New Roman"/>
          <w:color w:val="333333"/>
          <w:sz w:val="18"/>
          <w:szCs w:val="18"/>
        </w:rPr>
        <w:t>Why did the ROI increase over the Year 3 level?</w:t>
      </w:r>
      <w:r w:rsidRPr="00C4699D">
        <w:rPr>
          <w:rFonts w:ascii="Verdana" w:eastAsia="Times New Roman" w:hAnsi="Verdana" w:cs="Times New Roman"/>
          <w:color w:val="333333"/>
          <w:sz w:val="18"/>
          <w:szCs w:val="18"/>
        </w:rPr>
        <w:br/>
      </w:r>
      <w:r w:rsidRPr="00C4699D">
        <w:rPr>
          <w:rFonts w:ascii="Verdana" w:eastAsia="Times New Roman" w:hAnsi="Verdana" w:cs="Times New Roman"/>
          <w:b/>
          <w:bCs/>
          <w:color w:val="5393C5"/>
          <w:sz w:val="18"/>
          <w:szCs w:val="18"/>
        </w:rPr>
        <w:t> </w:t>
      </w:r>
      <w:r w:rsidRPr="00C4699D">
        <w:rPr>
          <w:rFonts w:ascii="Verdana" w:eastAsia="Times New Roman" w:hAnsi="Verdana" w:cs="Times New Roman"/>
          <w:color w:val="000000"/>
          <w:sz w:val="18"/>
          <w:szCs w:val="18"/>
        </w:rPr>
        <w:t>The ROI increased because expenses increased and assets turned over at a lower rate (sales decreased).</w:t>
      </w:r>
    </w:p>
    <w:p w:rsidR="00C4699D" w:rsidRPr="00C4699D" w:rsidRDefault="00C4699D" w:rsidP="00C4699D">
      <w:pPr>
        <w:numPr>
          <w:ilvl w:val="0"/>
          <w:numId w:val="3"/>
        </w:numPr>
        <w:pBdr>
          <w:top w:val="single" w:sz="24" w:space="0" w:color="5393C5"/>
          <w:left w:val="single" w:sz="24" w:space="0" w:color="5393C5"/>
          <w:bottom w:val="single" w:sz="6" w:space="4" w:color="5393C5"/>
          <w:right w:val="single" w:sz="24" w:space="0" w:color="5393C5"/>
        </w:pBdr>
        <w:shd w:val="clear" w:color="auto" w:fill="FFFFFF"/>
        <w:spacing w:before="100" w:beforeAutospacing="1" w:after="100" w:afterAutospacing="1" w:line="360" w:lineRule="atLeast"/>
        <w:ind w:left="0"/>
        <w:jc w:val="center"/>
        <w:rPr>
          <w:rFonts w:ascii="Verdana" w:eastAsia="Times New Roman" w:hAnsi="Verdana" w:cs="Times New Roman"/>
          <w:color w:val="000000"/>
          <w:sz w:val="18"/>
          <w:szCs w:val="18"/>
        </w:rPr>
      </w:pPr>
      <w:r w:rsidRPr="00C4699D">
        <w:rPr>
          <w:rFonts w:ascii="Verdana" w:eastAsia="Times New Roman" w:hAnsi="Verdana" w:cs="Times New Roman"/>
          <w:color w:val="000000"/>
          <w:sz w:val="18"/>
          <w:szCs w:val="18"/>
        </w:rPr>
        <w:t>The ROI increased because expenses decreased and assets turned over at a higher rate (sales increased).</w:t>
      </w:r>
    </w:p>
    <w:p w:rsidR="00C4699D" w:rsidRPr="00C4699D" w:rsidRDefault="00C4699D" w:rsidP="00C4699D">
      <w:pPr>
        <w:shd w:val="clear" w:color="auto" w:fill="FFFFFF"/>
        <w:spacing w:beforeAutospacing="1" w:after="0" w:afterAutospacing="1" w:line="360" w:lineRule="atLeast"/>
        <w:rPr>
          <w:rFonts w:ascii="Verdana" w:eastAsia="Times New Roman" w:hAnsi="Verdana" w:cs="Times New Roman"/>
          <w:color w:val="333333"/>
          <w:sz w:val="18"/>
          <w:szCs w:val="18"/>
        </w:rPr>
      </w:pPr>
      <w:bookmarkStart w:id="0" w:name="_GoBack"/>
      <w:bookmarkEnd w:id="0"/>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3.  </w:t>
      </w:r>
      <w:r w:rsidRPr="00C4699D">
        <w:rPr>
          <w:rFonts w:ascii="Verdana" w:eastAsia="Times New Roman" w:hAnsi="Verdana" w:cs="Times New Roman"/>
          <w:color w:val="333333"/>
          <w:sz w:val="18"/>
          <w:szCs w:val="18"/>
        </w:rPr>
        <w:t>Conceptual Connection: Suppose that the sales and net operating income for Year 4 remained the same as in Year 3 but inventory reductions were achieved as projected. Compute the ROI, margin, and turnover.</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652"/>
        <w:gridCol w:w="2848"/>
      </w:tblGrid>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ROI</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29" type="#_x0000_t75" style="width:60.75pt;height:18pt" o:ole="">
                  <v:imagedata r:id="rId7" o:title=""/>
                </v:shape>
                <w:control r:id="rId40" w:name="DefaultOcxName121" w:shapeid="_x0000_i1129"/>
              </w:object>
            </w:r>
            <w:r w:rsidRPr="00C4699D">
              <w:rPr>
                <w:rFonts w:ascii="Verdana" w:eastAsia="Times New Roman" w:hAnsi="Verdana" w:cs="Times New Roman"/>
                <w:color w:val="333333"/>
                <w:sz w:val="18"/>
                <w:szCs w:val="18"/>
              </w:rPr>
              <w:t> %</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Margin</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28" type="#_x0000_t75" style="width:60.75pt;height:18pt" o:ole="">
                  <v:imagedata r:id="rId7" o:title=""/>
                </v:shape>
                <w:control r:id="rId41" w:name="DefaultOcxName131" w:shapeid="_x0000_i1128"/>
              </w:object>
            </w:r>
            <w:r w:rsidRPr="00C4699D">
              <w:rPr>
                <w:rFonts w:ascii="Verdana" w:eastAsia="Times New Roman" w:hAnsi="Verdana" w:cs="Times New Roman"/>
                <w:color w:val="333333"/>
                <w:sz w:val="18"/>
                <w:szCs w:val="18"/>
              </w:rPr>
              <w:t> %</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Turnover</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27" type="#_x0000_t75" style="width:60.75pt;height:18pt" o:ole="">
                  <v:imagedata r:id="rId7" o:title=""/>
                </v:shape>
                <w:control r:id="rId42" w:name="DefaultOcxName141" w:shapeid="_x0000_i1127"/>
              </w:object>
            </w:r>
          </w:p>
        </w:tc>
      </w:tr>
    </w:tbl>
    <w:p w:rsidR="00C4699D" w:rsidRPr="00C4699D" w:rsidRDefault="00C4699D" w:rsidP="00C4699D">
      <w:pPr>
        <w:numPr>
          <w:ilvl w:val="0"/>
          <w:numId w:val="2"/>
        </w:numPr>
        <w:pBdr>
          <w:top w:val="single" w:sz="24" w:space="0" w:color="5393C5"/>
          <w:left w:val="single" w:sz="24" w:space="0" w:color="5393C5"/>
          <w:bottom w:val="single" w:sz="6" w:space="4" w:color="5393C5"/>
          <w:right w:val="single" w:sz="24" w:space="0" w:color="5393C5"/>
        </w:pBdr>
        <w:shd w:val="clear" w:color="auto" w:fill="FFFFFF"/>
        <w:spacing w:before="100" w:beforeAutospacing="1" w:after="100" w:afterAutospacing="1" w:line="360" w:lineRule="atLeast"/>
        <w:ind w:left="0"/>
        <w:jc w:val="center"/>
        <w:rPr>
          <w:rFonts w:ascii="Verdana" w:eastAsia="Times New Roman" w:hAnsi="Verdana" w:cs="Times New Roman"/>
          <w:color w:val="000000"/>
          <w:sz w:val="18"/>
          <w:szCs w:val="18"/>
        </w:rPr>
      </w:pPr>
      <w:r w:rsidRPr="00C4699D">
        <w:rPr>
          <w:rFonts w:ascii="Verdana" w:eastAsia="Times New Roman" w:hAnsi="Verdana" w:cs="Times New Roman"/>
          <w:color w:val="333333"/>
          <w:sz w:val="18"/>
          <w:szCs w:val="18"/>
        </w:rPr>
        <w:t>Why did the ROI exceed the Year 3 level?</w:t>
      </w:r>
      <w:r w:rsidRPr="00C4699D">
        <w:rPr>
          <w:rFonts w:ascii="Verdana" w:eastAsia="Times New Roman" w:hAnsi="Verdana" w:cs="Times New Roman"/>
          <w:color w:val="333333"/>
          <w:sz w:val="18"/>
          <w:szCs w:val="18"/>
        </w:rPr>
        <w:br/>
      </w:r>
      <w:r w:rsidRPr="00C4699D">
        <w:rPr>
          <w:rFonts w:ascii="Verdana" w:eastAsia="Times New Roman" w:hAnsi="Verdana" w:cs="Times New Roman"/>
          <w:b/>
          <w:bCs/>
          <w:color w:val="5393C5"/>
          <w:sz w:val="18"/>
          <w:szCs w:val="18"/>
        </w:rPr>
        <w:t> </w:t>
      </w:r>
      <w:r w:rsidRPr="00C4699D">
        <w:rPr>
          <w:rFonts w:ascii="Verdana" w:eastAsia="Times New Roman" w:hAnsi="Verdana" w:cs="Times New Roman"/>
          <w:color w:val="000000"/>
          <w:sz w:val="18"/>
          <w:szCs w:val="18"/>
        </w:rPr>
        <w:t>The ROI increased because assets decreased.</w:t>
      </w:r>
    </w:p>
    <w:p w:rsidR="00C4699D" w:rsidRPr="00C4699D" w:rsidRDefault="00C4699D" w:rsidP="00C4699D">
      <w:pPr>
        <w:numPr>
          <w:ilvl w:val="0"/>
          <w:numId w:val="2"/>
        </w:numPr>
        <w:pBdr>
          <w:top w:val="single" w:sz="24" w:space="0" w:color="5393C5"/>
          <w:left w:val="single" w:sz="24" w:space="0" w:color="5393C5"/>
          <w:bottom w:val="single" w:sz="6" w:space="4" w:color="5393C5"/>
          <w:right w:val="single" w:sz="24" w:space="0" w:color="5393C5"/>
        </w:pBdr>
        <w:shd w:val="clear" w:color="auto" w:fill="FFFFFF"/>
        <w:spacing w:before="100" w:beforeAutospacing="1" w:after="100" w:afterAutospacing="1" w:line="360" w:lineRule="atLeast"/>
        <w:ind w:left="0"/>
        <w:jc w:val="center"/>
        <w:rPr>
          <w:rFonts w:ascii="Verdana" w:eastAsia="Times New Roman" w:hAnsi="Verdana" w:cs="Times New Roman"/>
          <w:color w:val="000000"/>
          <w:sz w:val="18"/>
          <w:szCs w:val="18"/>
        </w:rPr>
      </w:pPr>
      <w:r w:rsidRPr="00C4699D">
        <w:rPr>
          <w:rFonts w:ascii="Verdana" w:eastAsia="Times New Roman" w:hAnsi="Verdana" w:cs="Times New Roman"/>
          <w:color w:val="000000"/>
          <w:sz w:val="18"/>
          <w:szCs w:val="18"/>
        </w:rPr>
        <w:t>The ROI increased because assets increased.</w:t>
      </w:r>
    </w:p>
    <w:p w:rsidR="00C4699D" w:rsidRPr="00C4699D" w:rsidRDefault="00C4699D" w:rsidP="00C4699D">
      <w:pPr>
        <w:shd w:val="clear" w:color="auto" w:fill="FFFFFF"/>
        <w:spacing w:beforeAutospacing="1" w:after="0" w:afterAutospacing="1" w:line="360" w:lineRule="atLeast"/>
        <w:rPr>
          <w:rFonts w:ascii="Verdana" w:eastAsia="Times New Roman" w:hAnsi="Verdana" w:cs="Times New Roman"/>
          <w:color w:val="333333"/>
          <w:sz w:val="18"/>
          <w:szCs w:val="18"/>
        </w:rPr>
      </w:pPr>
    </w:p>
    <w:p w:rsidR="00C4699D" w:rsidRPr="00C4699D" w:rsidRDefault="00C4699D" w:rsidP="00C4699D">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C4699D">
        <w:rPr>
          <w:rFonts w:ascii="Verdana" w:eastAsia="Times New Roman" w:hAnsi="Verdana" w:cs="Times New Roman"/>
          <w:b/>
          <w:bCs/>
          <w:color w:val="333333"/>
          <w:sz w:val="18"/>
          <w:szCs w:val="18"/>
        </w:rPr>
        <w:t>4.  </w:t>
      </w:r>
      <w:r w:rsidRPr="00C4699D">
        <w:rPr>
          <w:rFonts w:ascii="Verdana" w:eastAsia="Times New Roman" w:hAnsi="Verdana" w:cs="Times New Roman"/>
          <w:color w:val="333333"/>
          <w:sz w:val="18"/>
          <w:szCs w:val="18"/>
        </w:rPr>
        <w:t>Conceptual Connection: Assume that all expectations for Year 4 were realized. Compute the expected ROI, margin, and turnover.</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652"/>
        <w:gridCol w:w="2848"/>
      </w:tblGrid>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ROI</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26" type="#_x0000_t75" style="width:60.75pt;height:18pt" o:ole="">
                  <v:imagedata r:id="rId7" o:title=""/>
                </v:shape>
                <w:control r:id="rId43" w:name="DefaultOcxName151" w:shapeid="_x0000_i1126"/>
              </w:object>
            </w:r>
            <w:r w:rsidRPr="00C4699D">
              <w:rPr>
                <w:rFonts w:ascii="Verdana" w:eastAsia="Times New Roman" w:hAnsi="Verdana" w:cs="Times New Roman"/>
                <w:color w:val="333333"/>
                <w:sz w:val="18"/>
                <w:szCs w:val="18"/>
              </w:rPr>
              <w:t> %</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Margin</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25" type="#_x0000_t75" style="width:60.75pt;height:18pt" o:ole="">
                  <v:imagedata r:id="rId7" o:title=""/>
                </v:shape>
                <w:control r:id="rId44" w:name="DefaultOcxName161" w:shapeid="_x0000_i1125"/>
              </w:object>
            </w:r>
            <w:r w:rsidRPr="00C4699D">
              <w:rPr>
                <w:rFonts w:ascii="Verdana" w:eastAsia="Times New Roman" w:hAnsi="Verdana" w:cs="Times New Roman"/>
                <w:color w:val="333333"/>
                <w:sz w:val="18"/>
                <w:szCs w:val="18"/>
              </w:rPr>
              <w:t> %</w:t>
            </w:r>
          </w:p>
        </w:tc>
      </w:tr>
      <w:tr w:rsidR="00C4699D" w:rsidRPr="00C4699D" w:rsidTr="00C4699D">
        <w:trPr>
          <w:tblCellSpacing w:w="0" w:type="dxa"/>
        </w:trPr>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t>Turnover</w:t>
            </w:r>
          </w:p>
        </w:tc>
        <w:tc>
          <w:tcPr>
            <w:tcW w:w="0" w:type="auto"/>
            <w:shd w:val="clear" w:color="auto" w:fill="FFFFFF"/>
            <w:vAlign w:val="center"/>
            <w:hideMark/>
          </w:tcPr>
          <w:p w:rsidR="00C4699D" w:rsidRPr="00C4699D" w:rsidRDefault="00C4699D" w:rsidP="00C4699D">
            <w:pPr>
              <w:spacing w:after="0" w:line="360" w:lineRule="atLeast"/>
              <w:rPr>
                <w:rFonts w:ascii="Verdana" w:eastAsia="Times New Roman" w:hAnsi="Verdana" w:cs="Times New Roman"/>
                <w:color w:val="333333"/>
                <w:sz w:val="18"/>
                <w:szCs w:val="18"/>
              </w:rPr>
            </w:pPr>
            <w:r w:rsidRPr="00C4699D">
              <w:rPr>
                <w:rFonts w:ascii="Verdana" w:eastAsia="Times New Roman" w:hAnsi="Verdana" w:cs="Times New Roman"/>
                <w:color w:val="333333"/>
                <w:sz w:val="18"/>
                <w:szCs w:val="18"/>
              </w:rPr>
              <w:object w:dxaOrig="1440" w:dyaOrig="1440">
                <v:shape id="_x0000_i1124" type="#_x0000_t75" style="width:60.75pt;height:18pt" o:ole="">
                  <v:imagedata r:id="rId7" o:title=""/>
                </v:shape>
                <w:control r:id="rId45" w:name="DefaultOcxName171" w:shapeid="_x0000_i1124"/>
              </w:object>
            </w:r>
          </w:p>
        </w:tc>
      </w:tr>
    </w:tbl>
    <w:p w:rsidR="00C4699D" w:rsidRPr="00C4699D" w:rsidRDefault="00C4699D" w:rsidP="00C4699D">
      <w:pPr>
        <w:numPr>
          <w:ilvl w:val="0"/>
          <w:numId w:val="1"/>
        </w:numPr>
        <w:pBdr>
          <w:top w:val="single" w:sz="24" w:space="0" w:color="5393C5"/>
          <w:left w:val="single" w:sz="24" w:space="0" w:color="5393C5"/>
          <w:bottom w:val="single" w:sz="6" w:space="4" w:color="5393C5"/>
          <w:right w:val="single" w:sz="24" w:space="0" w:color="5393C5"/>
        </w:pBdr>
        <w:shd w:val="clear" w:color="auto" w:fill="FFFFFF"/>
        <w:spacing w:before="100" w:beforeAutospacing="1" w:after="100" w:afterAutospacing="1" w:line="360" w:lineRule="atLeast"/>
        <w:ind w:left="0"/>
        <w:jc w:val="center"/>
        <w:rPr>
          <w:rFonts w:ascii="Verdana" w:eastAsia="Times New Roman" w:hAnsi="Verdana" w:cs="Times New Roman"/>
          <w:color w:val="000000"/>
          <w:sz w:val="18"/>
          <w:szCs w:val="18"/>
        </w:rPr>
      </w:pPr>
      <w:r w:rsidRPr="00C4699D">
        <w:rPr>
          <w:rFonts w:ascii="Verdana" w:eastAsia="Times New Roman" w:hAnsi="Verdana" w:cs="Times New Roman"/>
          <w:color w:val="333333"/>
          <w:sz w:val="18"/>
          <w:szCs w:val="18"/>
        </w:rPr>
        <w:lastRenderedPageBreak/>
        <w:t>Why did the ROI increase over the Year 3 level?</w:t>
      </w:r>
      <w:r w:rsidRPr="00C4699D">
        <w:rPr>
          <w:rFonts w:ascii="Verdana" w:eastAsia="Times New Roman" w:hAnsi="Verdana" w:cs="Times New Roman"/>
          <w:color w:val="333333"/>
          <w:sz w:val="18"/>
          <w:szCs w:val="18"/>
        </w:rPr>
        <w:br/>
      </w:r>
      <w:r w:rsidRPr="00C4699D">
        <w:rPr>
          <w:rFonts w:ascii="Verdana" w:eastAsia="Times New Roman" w:hAnsi="Verdana" w:cs="Times New Roman"/>
          <w:b/>
          <w:bCs/>
          <w:color w:val="5393C5"/>
          <w:sz w:val="18"/>
          <w:szCs w:val="18"/>
        </w:rPr>
        <w:t> </w:t>
      </w:r>
      <w:r w:rsidRPr="00C4699D">
        <w:rPr>
          <w:rFonts w:ascii="Verdana" w:eastAsia="Times New Roman" w:hAnsi="Verdana" w:cs="Times New Roman"/>
          <w:color w:val="000000"/>
          <w:sz w:val="18"/>
          <w:szCs w:val="18"/>
        </w:rPr>
        <w:t>The ROI increased because expenses decreased and assets turned over at a higher rate.</w:t>
      </w:r>
    </w:p>
    <w:p w:rsidR="00C4699D" w:rsidRPr="00C4699D" w:rsidRDefault="00C4699D" w:rsidP="00C4699D">
      <w:pPr>
        <w:numPr>
          <w:ilvl w:val="0"/>
          <w:numId w:val="1"/>
        </w:numPr>
        <w:pBdr>
          <w:top w:val="single" w:sz="24" w:space="0" w:color="5393C5"/>
          <w:left w:val="single" w:sz="24" w:space="0" w:color="5393C5"/>
          <w:bottom w:val="single" w:sz="6" w:space="4" w:color="5393C5"/>
          <w:right w:val="single" w:sz="24" w:space="0" w:color="5393C5"/>
        </w:pBdr>
        <w:shd w:val="clear" w:color="auto" w:fill="FFFFFF"/>
        <w:spacing w:before="100" w:beforeAutospacing="1" w:after="100" w:afterAutospacing="1" w:line="360" w:lineRule="atLeast"/>
        <w:ind w:left="0"/>
        <w:jc w:val="center"/>
        <w:rPr>
          <w:rFonts w:ascii="Verdana" w:eastAsia="Times New Roman" w:hAnsi="Verdana" w:cs="Times New Roman"/>
          <w:color w:val="000000"/>
          <w:sz w:val="18"/>
          <w:szCs w:val="18"/>
        </w:rPr>
      </w:pPr>
      <w:r w:rsidRPr="00C4699D">
        <w:rPr>
          <w:rFonts w:ascii="Verdana" w:eastAsia="Times New Roman" w:hAnsi="Verdana" w:cs="Times New Roman"/>
          <w:color w:val="000000"/>
          <w:sz w:val="18"/>
          <w:szCs w:val="18"/>
        </w:rPr>
        <w:t>The ROI increased because expenses increased and assets turned over at a higher rate.</w:t>
      </w:r>
    </w:p>
    <w:p w:rsidR="00C4699D" w:rsidRPr="00C4699D" w:rsidRDefault="00C4699D" w:rsidP="00C4699D">
      <w:pPr>
        <w:numPr>
          <w:ilvl w:val="0"/>
          <w:numId w:val="1"/>
        </w:numPr>
        <w:pBdr>
          <w:top w:val="single" w:sz="24" w:space="0" w:color="5393C5"/>
          <w:left w:val="single" w:sz="24" w:space="0" w:color="5393C5"/>
          <w:bottom w:val="single" w:sz="6" w:space="4" w:color="5393C5"/>
          <w:right w:val="single" w:sz="24" w:space="0" w:color="5393C5"/>
        </w:pBdr>
        <w:shd w:val="clear" w:color="auto" w:fill="FFFFFF"/>
        <w:spacing w:before="100" w:beforeAutospacing="1" w:after="100" w:afterAutospacing="1" w:line="360" w:lineRule="atLeast"/>
        <w:ind w:left="0"/>
        <w:jc w:val="center"/>
        <w:rPr>
          <w:rFonts w:ascii="Verdana" w:eastAsia="Times New Roman" w:hAnsi="Verdana" w:cs="Times New Roman"/>
          <w:color w:val="000000"/>
          <w:sz w:val="18"/>
          <w:szCs w:val="18"/>
        </w:rPr>
      </w:pPr>
      <w:r w:rsidRPr="00C4699D">
        <w:rPr>
          <w:rFonts w:ascii="Verdana" w:eastAsia="Times New Roman" w:hAnsi="Verdana" w:cs="Times New Roman"/>
          <w:color w:val="000000"/>
          <w:sz w:val="18"/>
          <w:szCs w:val="18"/>
        </w:rPr>
        <w:t>The ROI increased because expenses decreased and assets turned over at a lower rate.</w:t>
      </w:r>
    </w:p>
    <w:p w:rsidR="00C4699D" w:rsidRPr="00C4699D" w:rsidRDefault="00C4699D" w:rsidP="00C4699D">
      <w:pPr>
        <w:numPr>
          <w:ilvl w:val="0"/>
          <w:numId w:val="1"/>
        </w:numPr>
        <w:pBdr>
          <w:top w:val="single" w:sz="24" w:space="0" w:color="5393C5"/>
          <w:left w:val="single" w:sz="24" w:space="0" w:color="5393C5"/>
          <w:bottom w:val="single" w:sz="6" w:space="4" w:color="5393C5"/>
          <w:right w:val="single" w:sz="24" w:space="0" w:color="5393C5"/>
        </w:pBdr>
        <w:shd w:val="clear" w:color="auto" w:fill="FFFFFF"/>
        <w:spacing w:before="100" w:beforeAutospacing="1" w:after="100" w:afterAutospacing="1" w:line="360" w:lineRule="atLeast"/>
        <w:ind w:left="0"/>
        <w:jc w:val="center"/>
        <w:rPr>
          <w:rFonts w:ascii="Verdana" w:eastAsia="Times New Roman" w:hAnsi="Verdana" w:cs="Times New Roman"/>
          <w:color w:val="000000"/>
          <w:sz w:val="18"/>
          <w:szCs w:val="18"/>
        </w:rPr>
      </w:pPr>
      <w:r w:rsidRPr="00C4699D">
        <w:rPr>
          <w:rFonts w:ascii="Verdana" w:eastAsia="Times New Roman" w:hAnsi="Verdana" w:cs="Times New Roman"/>
          <w:color w:val="000000"/>
          <w:sz w:val="18"/>
          <w:szCs w:val="18"/>
        </w:rPr>
        <w:t>The ROI increased because expenses increased and assets turned over at a lower rate.</w:t>
      </w:r>
    </w:p>
    <w:p w:rsidR="00C4699D" w:rsidRPr="00C4699D" w:rsidRDefault="00C4699D" w:rsidP="00C4699D">
      <w:pPr>
        <w:shd w:val="clear" w:color="auto" w:fill="FFFFFF"/>
        <w:spacing w:beforeAutospacing="1" w:after="0" w:afterAutospacing="1" w:line="360" w:lineRule="atLeast"/>
        <w:rPr>
          <w:rFonts w:ascii="Verdana" w:eastAsia="Times New Roman" w:hAnsi="Verdana" w:cs="Times New Roman"/>
          <w:color w:val="333333"/>
          <w:sz w:val="18"/>
          <w:szCs w:val="18"/>
        </w:rPr>
      </w:pPr>
    </w:p>
    <w:p w:rsidR="00C4699D" w:rsidRDefault="00C4699D"/>
    <w:sectPr w:rsidR="00C46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06CAC"/>
    <w:multiLevelType w:val="multilevel"/>
    <w:tmpl w:val="B3EC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F0AC1"/>
    <w:multiLevelType w:val="multilevel"/>
    <w:tmpl w:val="74C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D524CA"/>
    <w:multiLevelType w:val="multilevel"/>
    <w:tmpl w:val="0AB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9D"/>
    <w:rsid w:val="000C096C"/>
    <w:rsid w:val="00787E63"/>
    <w:rsid w:val="00C4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53B97-FD01-4782-A138-0F905B50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9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99D"/>
    <w:rPr>
      <w:b/>
      <w:bCs/>
    </w:rPr>
  </w:style>
  <w:style w:type="character" w:customStyle="1" w:styleId="apple-converted-space">
    <w:name w:val="apple-converted-space"/>
    <w:basedOn w:val="DefaultParagraphFont"/>
    <w:rsid w:val="00C4699D"/>
  </w:style>
  <w:style w:type="character" w:customStyle="1" w:styleId="field">
    <w:name w:val="field"/>
    <w:basedOn w:val="DefaultParagraphFont"/>
    <w:rsid w:val="00C4699D"/>
  </w:style>
  <w:style w:type="character" w:customStyle="1" w:styleId="lead-text">
    <w:name w:val="lead-text"/>
    <w:basedOn w:val="DefaultParagraphFont"/>
    <w:rsid w:val="00C4699D"/>
  </w:style>
  <w:style w:type="character" w:customStyle="1" w:styleId="ci-select-control">
    <w:name w:val="ci-select-control"/>
    <w:basedOn w:val="DefaultParagraphFont"/>
    <w:rsid w:val="00C4699D"/>
  </w:style>
  <w:style w:type="character" w:styleId="Emphasis">
    <w:name w:val="Emphasis"/>
    <w:basedOn w:val="DefaultParagraphFont"/>
    <w:uiPriority w:val="20"/>
    <w:qFormat/>
    <w:rsid w:val="00C469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6715">
      <w:bodyDiv w:val="1"/>
      <w:marLeft w:val="0"/>
      <w:marRight w:val="0"/>
      <w:marTop w:val="0"/>
      <w:marBottom w:val="0"/>
      <w:divBdr>
        <w:top w:val="none" w:sz="0" w:space="0" w:color="auto"/>
        <w:left w:val="none" w:sz="0" w:space="0" w:color="auto"/>
        <w:bottom w:val="none" w:sz="0" w:space="0" w:color="auto"/>
        <w:right w:val="none" w:sz="0" w:space="0" w:color="auto"/>
      </w:divBdr>
    </w:div>
    <w:div w:id="805512882">
      <w:bodyDiv w:val="1"/>
      <w:marLeft w:val="0"/>
      <w:marRight w:val="0"/>
      <w:marTop w:val="0"/>
      <w:marBottom w:val="0"/>
      <w:divBdr>
        <w:top w:val="none" w:sz="0" w:space="0" w:color="auto"/>
        <w:left w:val="none" w:sz="0" w:space="0" w:color="auto"/>
        <w:bottom w:val="none" w:sz="0" w:space="0" w:color="auto"/>
        <w:right w:val="none" w:sz="0" w:space="0" w:color="auto"/>
      </w:divBdr>
    </w:div>
    <w:div w:id="1304892884">
      <w:bodyDiv w:val="1"/>
      <w:marLeft w:val="0"/>
      <w:marRight w:val="0"/>
      <w:marTop w:val="0"/>
      <w:marBottom w:val="0"/>
      <w:divBdr>
        <w:top w:val="none" w:sz="0" w:space="0" w:color="auto"/>
        <w:left w:val="none" w:sz="0" w:space="0" w:color="auto"/>
        <w:bottom w:val="none" w:sz="0" w:space="0" w:color="auto"/>
        <w:right w:val="none" w:sz="0" w:space="0" w:color="auto"/>
      </w:divBdr>
    </w:div>
    <w:div w:id="1564951894">
      <w:bodyDiv w:val="1"/>
      <w:marLeft w:val="0"/>
      <w:marRight w:val="0"/>
      <w:marTop w:val="0"/>
      <w:marBottom w:val="0"/>
      <w:divBdr>
        <w:top w:val="none" w:sz="0" w:space="0" w:color="auto"/>
        <w:left w:val="none" w:sz="0" w:space="0" w:color="auto"/>
        <w:bottom w:val="none" w:sz="0" w:space="0" w:color="auto"/>
        <w:right w:val="none" w:sz="0" w:space="0" w:color="auto"/>
      </w:divBdr>
    </w:div>
    <w:div w:id="2023121627">
      <w:bodyDiv w:val="1"/>
      <w:marLeft w:val="0"/>
      <w:marRight w:val="0"/>
      <w:marTop w:val="0"/>
      <w:marBottom w:val="0"/>
      <w:divBdr>
        <w:top w:val="none" w:sz="0" w:space="0" w:color="auto"/>
        <w:left w:val="none" w:sz="0" w:space="0" w:color="auto"/>
        <w:bottom w:val="none" w:sz="0" w:space="0" w:color="auto"/>
        <w:right w:val="none" w:sz="0" w:space="0" w:color="auto"/>
      </w:divBdr>
    </w:div>
    <w:div w:id="2055233757">
      <w:bodyDiv w:val="1"/>
      <w:marLeft w:val="0"/>
      <w:marRight w:val="0"/>
      <w:marTop w:val="0"/>
      <w:marBottom w:val="0"/>
      <w:divBdr>
        <w:top w:val="none" w:sz="0" w:space="0" w:color="auto"/>
        <w:left w:val="none" w:sz="0" w:space="0" w:color="auto"/>
        <w:bottom w:val="none" w:sz="0" w:space="0" w:color="auto"/>
        <w:right w:val="none" w:sz="0" w:space="0" w:color="auto"/>
      </w:divBdr>
    </w:div>
    <w:div w:id="207234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8" Type="http://schemas.openxmlformats.org/officeDocument/2006/relationships/control" Target="activeX/activeX2.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3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Joseph</cp:lastModifiedBy>
  <cp:revision>1</cp:revision>
  <dcterms:created xsi:type="dcterms:W3CDTF">2016-03-17T18:41:00Z</dcterms:created>
  <dcterms:modified xsi:type="dcterms:W3CDTF">2016-03-17T18:43:00Z</dcterms:modified>
</cp:coreProperties>
</file>